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D0D8CD" w:rsidR="00996E29" w:rsidRPr="001C52FC" w:rsidRDefault="0003041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7267695" w:rsidR="00996E29" w:rsidRPr="001D09FE" w:rsidRDefault="00BF5AC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FB3900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30414" w:rsidRPr="00030414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BF5AC5" w:rsidRPr="00BF5AC5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D1F39" w:rsidRPr="008D1F3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D1F39" w:rsidRPr="008D1F39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65CD3A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030414" w:rsidRPr="00030414">
        <w:rPr>
          <w:rFonts w:ascii="Times New Roman" w:hAnsi="Times New Roman"/>
          <w:b/>
          <w:bCs/>
          <w:i/>
          <w:iCs/>
          <w:color w:val="000000"/>
        </w:rPr>
        <w:t>7</w:t>
      </w:r>
      <w:r w:rsidR="00BF5AC5" w:rsidRPr="00BF5AC5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2B01CF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7</w:t>
      </w:r>
      <w:r w:rsidR="00BF5AC5" w:rsidRPr="00BF5AC5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030414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030414" w:rsidRPr="00030414">
        <w:rPr>
          <w:b/>
          <w:i/>
          <w:sz w:val="22"/>
          <w:szCs w:val="22"/>
        </w:rPr>
        <w:t>1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81F0869" w:rsidR="00610E7E" w:rsidRPr="00FC2AE6" w:rsidRDefault="008D1F39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4C8460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19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48C76331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BF5AC5">
        <w:rPr>
          <w:rFonts w:ascii="Times New Roman" w:eastAsiaTheme="minorEastAsia" w:hAnsi="Times New Roman"/>
          <w:szCs w:val="20"/>
        </w:rPr>
        <w:t xml:space="preserve"> - 6</w:t>
      </w:r>
    </w:p>
    <w:p w14:paraId="243528A4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2664ED40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BF5AC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08EE89A5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BF5AC5">
        <w:rPr>
          <w:rFonts w:ascii="Times New Roman" w:eastAsiaTheme="minorEastAsia" w:hAnsi="Times New Roman"/>
          <w:szCs w:val="20"/>
        </w:rPr>
        <w:t>Ставка дополнительного дохода = 1% * max(S(j) / S(0) - 1; 0%);</w:t>
      </w:r>
    </w:p>
    <w:p w14:paraId="422326CE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BF5AC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59947896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BF5AC5">
        <w:rPr>
          <w:rFonts w:ascii="Times New Roman" w:eastAsiaTheme="minorEastAsia" w:hAnsi="Times New Roman"/>
          <w:szCs w:val="20"/>
        </w:rPr>
        <w:t>Ставка дополнительного дохода = 1% * max(S(j) / S(0) - 1; 0%);</w:t>
      </w:r>
    </w:p>
    <w:p w14:paraId="2FE304D6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BF5AC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333D4043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BF5AC5">
        <w:rPr>
          <w:rFonts w:ascii="Times New Roman" w:eastAsiaTheme="minorEastAsia" w:hAnsi="Times New Roman"/>
          <w:szCs w:val="20"/>
        </w:rPr>
        <w:t>Ставка дополнительного дохода = R * min(max(S(j) / S(0) - 1 ; 0%); 50%).</w:t>
      </w:r>
    </w:p>
    <w:p w14:paraId="4FD71EDC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>Где</w:t>
      </w:r>
    </w:p>
    <w:p w14:paraId="0AC7B392" w14:textId="4529C82F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BF5AC5">
        <w:rPr>
          <w:rFonts w:ascii="Times New Roman" w:eastAsiaTheme="minorEastAsia" w:hAnsi="Times New Roman"/>
          <w:szCs w:val="20"/>
        </w:rPr>
        <w:t xml:space="preserve"> – величина </w:t>
      </w:r>
      <w:r w:rsidRPr="00BF5AC5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BF5AC5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BF5AC5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2A408CC1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BF5AC5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0964A21B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BF5AC5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74AB9F0D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BF5AC5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публикуются значения всех Референсных активов.</w:t>
      </w:r>
    </w:p>
    <w:p w14:paraId="7701AD3B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165FA5D9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>Для всех периодов дополнительного дохода с порядковыми номерами 2, 4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BF5AC5">
        <w:rPr>
          <w:rFonts w:ascii="Times New Roman" w:eastAsiaTheme="minorEastAsia" w:hAnsi="Times New Roman"/>
          <w:szCs w:val="20"/>
        </w:rPr>
        <w:br/>
      </w:r>
      <w:r w:rsidRPr="00BF5AC5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6E6A4195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7D62E377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>Наименование: Индекс МосБиржи</w:t>
      </w:r>
    </w:p>
    <w:p w14:paraId="55BD53A0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>ISIN: RU000A0JP7K5</w:t>
      </w:r>
    </w:p>
    <w:p w14:paraId="5B3E03A8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>Биржа Референсного актива: ПАО Московская Биржа (MOEX)</w:t>
      </w:r>
    </w:p>
    <w:p w14:paraId="751F1866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>Источник цены (ссылка): https://www.moex.com/ru/index/IMOEX</w:t>
      </w:r>
    </w:p>
    <w:p w14:paraId="44F7EF20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 xml:space="preserve">Тип значения на странице по ссылке: Закрытие </w:t>
      </w:r>
    </w:p>
    <w:p w14:paraId="769D7204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12C0A07" w14:textId="77777777" w:rsidR="00BF5AC5" w:rsidRPr="00BF5AC5" w:rsidRDefault="00BF5AC5" w:rsidP="00BF5AC5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lastRenderedPageBreak/>
        <w:t>ДД (руб.) = Nom × Ставка дополнительного дохода(j), где</w:t>
      </w:r>
    </w:p>
    <w:p w14:paraId="61896AB5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6FCF9C7C" w14:textId="77777777" w:rsidR="00BF5AC5" w:rsidRPr="00BF5AC5" w:rsidRDefault="00BF5AC5" w:rsidP="00BF5AC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F5AC5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0AB32F1F" w:rsidR="00F528F2" w:rsidRPr="00BF5AC5" w:rsidRDefault="00BF5AC5" w:rsidP="00BF5A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6"/>
        </w:rPr>
      </w:pPr>
      <w:r w:rsidRPr="00BF5AC5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BF5AC5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E6F0C" w14:textId="77777777" w:rsidR="0034639E" w:rsidRDefault="0034639E" w:rsidP="0053664B">
      <w:pPr>
        <w:spacing w:after="0" w:line="240" w:lineRule="auto"/>
      </w:pPr>
      <w:r>
        <w:separator/>
      </w:r>
    </w:p>
  </w:endnote>
  <w:endnote w:type="continuationSeparator" w:id="0">
    <w:p w14:paraId="09FA608C" w14:textId="77777777" w:rsidR="0034639E" w:rsidRDefault="0034639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EDBBE6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B1E2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C8E39" w14:textId="77777777" w:rsidR="0034639E" w:rsidRDefault="0034639E" w:rsidP="0053664B">
      <w:pPr>
        <w:spacing w:after="0" w:line="240" w:lineRule="auto"/>
      </w:pPr>
      <w:r>
        <w:separator/>
      </w:r>
    </w:p>
  </w:footnote>
  <w:footnote w:type="continuationSeparator" w:id="0">
    <w:p w14:paraId="77EF2364" w14:textId="77777777" w:rsidR="0034639E" w:rsidRDefault="0034639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39E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1E2F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1F39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AC5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F106989-45D4-4DC1-A6AD-19517E18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B3D1-1CC6-439C-96A4-2826BC12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4816</Words>
  <Characters>27457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2022-01-18T12:44:00Z</dcterms:created>
  <dcterms:modified xsi:type="dcterms:W3CDTF">2022-01-18T12:44:00Z</dcterms:modified>
</cp:coreProperties>
</file>